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103" w:rsidRDefault="00156826" w:rsidP="00156826">
      <w:pPr>
        <w:jc w:val="center"/>
        <w:rPr>
          <w:sz w:val="28"/>
          <w:szCs w:val="28"/>
        </w:rPr>
      </w:pPr>
      <w:r w:rsidRPr="00156826">
        <w:rPr>
          <w:sz w:val="28"/>
          <w:szCs w:val="28"/>
        </w:rPr>
        <w:t>PCSA Energy Model Summary</w:t>
      </w:r>
    </w:p>
    <w:p w:rsidR="00156826" w:rsidRDefault="00156826" w:rsidP="00156826">
      <w:pPr>
        <w:jc w:val="center"/>
        <w:rPr>
          <w:sz w:val="28"/>
          <w:szCs w:val="28"/>
        </w:rPr>
      </w:pPr>
    </w:p>
    <w:p w:rsidR="00156826" w:rsidRDefault="00156826" w:rsidP="00156826">
      <w:pPr>
        <w:rPr>
          <w:sz w:val="24"/>
          <w:szCs w:val="24"/>
        </w:rPr>
      </w:pPr>
      <w:r>
        <w:rPr>
          <w:sz w:val="24"/>
          <w:szCs w:val="24"/>
        </w:rPr>
        <w:tab/>
        <w:t>The PCSA energy model re-settle</w:t>
      </w:r>
      <w:r w:rsidR="004004B3">
        <w:rPr>
          <w:sz w:val="24"/>
          <w:szCs w:val="24"/>
        </w:rPr>
        <w:t>d</w:t>
      </w:r>
      <w:r>
        <w:rPr>
          <w:sz w:val="24"/>
          <w:szCs w:val="24"/>
        </w:rPr>
        <w:t xml:space="preserve"> the 12 months ending October 2011 as if the new Power Cost Sharing Agreement (</w:t>
      </w:r>
      <w:r w:rsidR="00305B27">
        <w:rPr>
          <w:sz w:val="24"/>
          <w:szCs w:val="24"/>
        </w:rPr>
        <w:t xml:space="preserve">PCSA) were in affect during that period.  It calculates the volume and cost of inter-company transactions, or “surplus energy transactions” that would have occurred between APCo, KPCo and I&amp;M.  Additionally, the model calculates what other spot market energy transactions would have occurred in addition to, or in lieu of the surplus energy transactions. </w:t>
      </w:r>
    </w:p>
    <w:p w:rsidR="00305B27" w:rsidRDefault="00305B27" w:rsidP="00156826">
      <w:pPr>
        <w:rPr>
          <w:sz w:val="24"/>
          <w:szCs w:val="24"/>
          <w:u w:val="single"/>
        </w:rPr>
      </w:pPr>
      <w:r>
        <w:rPr>
          <w:sz w:val="24"/>
          <w:szCs w:val="24"/>
          <w:u w:val="single"/>
        </w:rPr>
        <w:t>Inputs:</w:t>
      </w:r>
    </w:p>
    <w:p w:rsidR="00C11BA2" w:rsidRDefault="00305B27" w:rsidP="00156826">
      <w:pPr>
        <w:rPr>
          <w:sz w:val="24"/>
          <w:szCs w:val="24"/>
        </w:rPr>
      </w:pPr>
      <w:r>
        <w:rPr>
          <w:sz w:val="24"/>
          <w:szCs w:val="24"/>
        </w:rPr>
        <w:tab/>
      </w:r>
      <w:r w:rsidR="00737502">
        <w:rPr>
          <w:sz w:val="24"/>
          <w:szCs w:val="24"/>
        </w:rPr>
        <w:t xml:space="preserve">The inputs used in the model are historic, settled values.  </w:t>
      </w:r>
    </w:p>
    <w:p w:rsidR="0009025F" w:rsidRDefault="0009025F" w:rsidP="00156826">
      <w:pPr>
        <w:rPr>
          <w:sz w:val="24"/>
          <w:szCs w:val="24"/>
        </w:rPr>
      </w:pPr>
      <w:r>
        <w:rPr>
          <w:sz w:val="24"/>
          <w:szCs w:val="24"/>
        </w:rPr>
        <w:tab/>
        <w:t xml:space="preserve">Included in each </w:t>
      </w:r>
      <w:r w:rsidR="00732198">
        <w:rPr>
          <w:sz w:val="24"/>
          <w:szCs w:val="24"/>
        </w:rPr>
        <w:t xml:space="preserve">Operating </w:t>
      </w:r>
      <w:r>
        <w:rPr>
          <w:sz w:val="24"/>
          <w:szCs w:val="24"/>
        </w:rPr>
        <w:t xml:space="preserve">Company’s </w:t>
      </w:r>
      <w:r w:rsidR="00732198">
        <w:rPr>
          <w:sz w:val="24"/>
          <w:szCs w:val="24"/>
        </w:rPr>
        <w:t xml:space="preserve">(OC) </w:t>
      </w:r>
      <w:r>
        <w:rPr>
          <w:sz w:val="24"/>
          <w:szCs w:val="24"/>
        </w:rPr>
        <w:t>hourly generation are all owned resources and dedicated purchase</w:t>
      </w:r>
      <w:r w:rsidR="00410330">
        <w:rPr>
          <w:sz w:val="24"/>
          <w:szCs w:val="24"/>
        </w:rPr>
        <w:t>d</w:t>
      </w:r>
      <w:r>
        <w:rPr>
          <w:sz w:val="24"/>
          <w:szCs w:val="24"/>
        </w:rPr>
        <w:t xml:space="preserve"> power resources including wind PPAs.</w:t>
      </w:r>
      <w:r w:rsidR="00732198">
        <w:rPr>
          <w:sz w:val="24"/>
          <w:szCs w:val="24"/>
        </w:rPr>
        <w:t xml:space="preserve">  The hourly loads used include each OC’s retail native loads and any firm sales (such as FERC wholesale customers)</w:t>
      </w:r>
      <w:r w:rsidR="006E3D07">
        <w:rPr>
          <w:sz w:val="24"/>
          <w:szCs w:val="24"/>
        </w:rPr>
        <w:t>;</w:t>
      </w:r>
      <w:r w:rsidR="00732198">
        <w:rPr>
          <w:sz w:val="24"/>
          <w:szCs w:val="24"/>
        </w:rPr>
        <w:t xml:space="preserve"> these would be synonymous with their current “MLR” loads.</w:t>
      </w:r>
    </w:p>
    <w:p w:rsidR="0009025F" w:rsidRDefault="0009025F" w:rsidP="00156826">
      <w:pPr>
        <w:rPr>
          <w:sz w:val="24"/>
          <w:szCs w:val="24"/>
          <w:u w:val="single"/>
        </w:rPr>
      </w:pPr>
      <w:r>
        <w:rPr>
          <w:sz w:val="24"/>
          <w:szCs w:val="24"/>
          <w:u w:val="single"/>
        </w:rPr>
        <w:t>Analysis:</w:t>
      </w:r>
    </w:p>
    <w:p w:rsidR="0009025F" w:rsidRDefault="0009025F" w:rsidP="00156826">
      <w:pPr>
        <w:rPr>
          <w:sz w:val="24"/>
          <w:szCs w:val="24"/>
        </w:rPr>
      </w:pPr>
      <w:r>
        <w:rPr>
          <w:sz w:val="24"/>
          <w:szCs w:val="24"/>
        </w:rPr>
        <w:tab/>
        <w:t xml:space="preserve">Although the re-settlement is done on an hourly basis and contains a great deal of aggregated data (to the </w:t>
      </w:r>
      <w:r w:rsidR="00732198">
        <w:rPr>
          <w:sz w:val="24"/>
          <w:szCs w:val="24"/>
        </w:rPr>
        <w:t>OC</w:t>
      </w:r>
      <w:r>
        <w:rPr>
          <w:sz w:val="24"/>
          <w:szCs w:val="24"/>
        </w:rPr>
        <w:t xml:space="preserve"> level), the analysis is fairly simple and transpires in the following steps:</w:t>
      </w:r>
    </w:p>
    <w:p w:rsidR="0009025F" w:rsidRDefault="0009025F" w:rsidP="0009025F">
      <w:pPr>
        <w:pStyle w:val="ListParagraph"/>
        <w:numPr>
          <w:ilvl w:val="0"/>
          <w:numId w:val="1"/>
        </w:numPr>
        <w:rPr>
          <w:sz w:val="24"/>
          <w:szCs w:val="24"/>
        </w:rPr>
      </w:pPr>
      <w:r>
        <w:rPr>
          <w:sz w:val="24"/>
          <w:szCs w:val="24"/>
        </w:rPr>
        <w:t>An hourly MWh long</w:t>
      </w:r>
      <w:r w:rsidR="006E3D07">
        <w:rPr>
          <w:sz w:val="24"/>
          <w:szCs w:val="24"/>
        </w:rPr>
        <w:t>/ (</w:t>
      </w:r>
      <w:r>
        <w:rPr>
          <w:sz w:val="24"/>
          <w:szCs w:val="24"/>
        </w:rPr>
        <w:t xml:space="preserve">short) position is calculated for each </w:t>
      </w:r>
      <w:r w:rsidR="00732198">
        <w:rPr>
          <w:sz w:val="24"/>
          <w:szCs w:val="24"/>
        </w:rPr>
        <w:t>OC</w:t>
      </w:r>
      <w:r w:rsidR="00AC1DF0">
        <w:rPr>
          <w:sz w:val="24"/>
          <w:szCs w:val="24"/>
        </w:rPr>
        <w:t xml:space="preserve"> where their load</w:t>
      </w:r>
      <w:r w:rsidR="00410330">
        <w:rPr>
          <w:sz w:val="24"/>
          <w:szCs w:val="24"/>
        </w:rPr>
        <w:t xml:space="preserve"> obligation</w:t>
      </w:r>
      <w:r w:rsidR="00AC1DF0">
        <w:rPr>
          <w:sz w:val="24"/>
          <w:szCs w:val="24"/>
        </w:rPr>
        <w:t xml:space="preserve"> is compared to their owned generation resources and dedicated purchases.</w:t>
      </w:r>
    </w:p>
    <w:p w:rsidR="00732198" w:rsidRDefault="00732198" w:rsidP="0009025F">
      <w:pPr>
        <w:pStyle w:val="ListParagraph"/>
        <w:numPr>
          <w:ilvl w:val="0"/>
          <w:numId w:val="1"/>
        </w:numPr>
        <w:rPr>
          <w:sz w:val="24"/>
          <w:szCs w:val="24"/>
        </w:rPr>
      </w:pPr>
      <w:r>
        <w:rPr>
          <w:sz w:val="24"/>
          <w:szCs w:val="24"/>
        </w:rPr>
        <w:t xml:space="preserve">If one or more </w:t>
      </w:r>
      <w:proofErr w:type="spellStart"/>
      <w:r>
        <w:rPr>
          <w:sz w:val="24"/>
          <w:szCs w:val="24"/>
        </w:rPr>
        <w:t>OC</w:t>
      </w:r>
      <w:r w:rsidR="00AC1DF0">
        <w:rPr>
          <w:sz w:val="24"/>
          <w:szCs w:val="24"/>
        </w:rPr>
        <w:t>s</w:t>
      </w:r>
      <w:proofErr w:type="spellEnd"/>
      <w:r>
        <w:rPr>
          <w:sz w:val="24"/>
          <w:szCs w:val="24"/>
        </w:rPr>
        <w:t xml:space="preserve"> </w:t>
      </w:r>
      <w:r w:rsidR="00AC1DF0">
        <w:rPr>
          <w:sz w:val="24"/>
          <w:szCs w:val="24"/>
        </w:rPr>
        <w:t>are</w:t>
      </w:r>
      <w:r>
        <w:rPr>
          <w:sz w:val="24"/>
          <w:szCs w:val="24"/>
        </w:rPr>
        <w:t xml:space="preserve"> </w:t>
      </w:r>
      <w:r w:rsidR="00AC1DF0">
        <w:rPr>
          <w:sz w:val="24"/>
          <w:szCs w:val="24"/>
        </w:rPr>
        <w:t xml:space="preserve">short in an hour and one or more </w:t>
      </w:r>
      <w:proofErr w:type="spellStart"/>
      <w:r w:rsidR="00AC1DF0">
        <w:rPr>
          <w:sz w:val="24"/>
          <w:szCs w:val="24"/>
        </w:rPr>
        <w:t>OCs</w:t>
      </w:r>
      <w:proofErr w:type="spellEnd"/>
      <w:r w:rsidR="00AC1DF0">
        <w:rPr>
          <w:sz w:val="24"/>
          <w:szCs w:val="24"/>
        </w:rPr>
        <w:t xml:space="preserve"> are long, an economic comparison is made to determine whether the long OC(s) can supply the short OC(s) any additional MWh of supply at a cost that is less than the short OC(s) avoided cost.  Avoided cost is always the PJM day ahead AEP Zone locational marginal price (LMP).  If such a transaction is economic for the short company, the transaction takes place and is what we refer to as “surplus energy” in the new PCSA.</w:t>
      </w:r>
    </w:p>
    <w:p w:rsidR="00AC1DF0" w:rsidRDefault="00AC1DF0" w:rsidP="0009025F">
      <w:pPr>
        <w:pStyle w:val="ListParagraph"/>
        <w:numPr>
          <w:ilvl w:val="0"/>
          <w:numId w:val="1"/>
        </w:numPr>
        <w:rPr>
          <w:sz w:val="24"/>
          <w:szCs w:val="24"/>
        </w:rPr>
      </w:pPr>
      <w:r>
        <w:rPr>
          <w:sz w:val="24"/>
          <w:szCs w:val="24"/>
        </w:rPr>
        <w:t xml:space="preserve">Since this is an after the fact pool settlement, in reality the short  OC(s) really purchased spot market energy from PJM and the long OC(s) really sold their excess length into the PJM spot market even if it is determined that a surplus energy transaction would have taken place.  </w:t>
      </w:r>
      <w:r w:rsidR="00E117B7">
        <w:rPr>
          <w:sz w:val="24"/>
          <w:szCs w:val="24"/>
        </w:rPr>
        <w:t xml:space="preserve">When a surplus energy transaction does place, the seller shares one-half of its sales margins with the purchaser (margin calculated as [(buyer’s avoided cost – seller’s incremental cost) x MWh of surplus energy transaction]).  This sharing of one-half of the seller’s market sales margins </w:t>
      </w:r>
      <w:r w:rsidR="00410330">
        <w:rPr>
          <w:sz w:val="24"/>
          <w:szCs w:val="24"/>
        </w:rPr>
        <w:t>from</w:t>
      </w:r>
      <w:r w:rsidR="00E117B7">
        <w:rPr>
          <w:sz w:val="24"/>
          <w:szCs w:val="24"/>
        </w:rPr>
        <w:t xml:space="preserve"> </w:t>
      </w:r>
      <w:r w:rsidR="00410330">
        <w:rPr>
          <w:sz w:val="24"/>
          <w:szCs w:val="24"/>
        </w:rPr>
        <w:t>the</w:t>
      </w:r>
      <w:r w:rsidR="00E117B7">
        <w:rPr>
          <w:sz w:val="24"/>
          <w:szCs w:val="24"/>
        </w:rPr>
        <w:t xml:space="preserve"> surplus energy MWh with the </w:t>
      </w:r>
      <w:r w:rsidR="00E117B7">
        <w:rPr>
          <w:sz w:val="24"/>
          <w:szCs w:val="24"/>
        </w:rPr>
        <w:lastRenderedPageBreak/>
        <w:t xml:space="preserve">purchaser is the “split the savings” approach and effectively buys down the purchaser’s cost of power.  </w:t>
      </w:r>
    </w:p>
    <w:p w:rsidR="00E117B7" w:rsidRDefault="00E117B7" w:rsidP="0009025F">
      <w:pPr>
        <w:pStyle w:val="ListParagraph"/>
        <w:numPr>
          <w:ilvl w:val="0"/>
          <w:numId w:val="1"/>
        </w:numPr>
        <w:rPr>
          <w:sz w:val="24"/>
          <w:szCs w:val="24"/>
        </w:rPr>
      </w:pPr>
      <w:r>
        <w:rPr>
          <w:sz w:val="24"/>
          <w:szCs w:val="24"/>
        </w:rPr>
        <w:t>After the surplus energy settlement is calculated</w:t>
      </w:r>
      <w:r w:rsidR="006E3D07">
        <w:rPr>
          <w:sz w:val="24"/>
          <w:szCs w:val="24"/>
        </w:rPr>
        <w:t>, remaining long and short positions are settled with the PJM spot market.</w:t>
      </w:r>
    </w:p>
    <w:p w:rsidR="00825B04" w:rsidRDefault="00825B04" w:rsidP="00825B04">
      <w:pPr>
        <w:rPr>
          <w:sz w:val="24"/>
          <w:szCs w:val="24"/>
        </w:rPr>
      </w:pPr>
    </w:p>
    <w:p w:rsidR="00825B04" w:rsidRDefault="00825B04" w:rsidP="00825B04">
      <w:pPr>
        <w:rPr>
          <w:sz w:val="24"/>
          <w:szCs w:val="24"/>
          <w:u w:val="single"/>
        </w:rPr>
      </w:pPr>
      <w:r>
        <w:rPr>
          <w:sz w:val="24"/>
          <w:szCs w:val="24"/>
          <w:u w:val="single"/>
        </w:rPr>
        <w:t>Assumptions Included in the Analysis:</w:t>
      </w:r>
    </w:p>
    <w:p w:rsidR="00825B04" w:rsidRDefault="00825B04" w:rsidP="00825B04">
      <w:pPr>
        <w:pStyle w:val="ListParagraph"/>
        <w:numPr>
          <w:ilvl w:val="0"/>
          <w:numId w:val="2"/>
        </w:numPr>
        <w:rPr>
          <w:sz w:val="24"/>
          <w:szCs w:val="24"/>
        </w:rPr>
      </w:pPr>
      <w:r>
        <w:rPr>
          <w:sz w:val="24"/>
          <w:szCs w:val="24"/>
        </w:rPr>
        <w:t>The Wheeling Power Company load was included in APCo’s load obligation.</w:t>
      </w:r>
    </w:p>
    <w:p w:rsidR="00825B04" w:rsidRDefault="00825B04" w:rsidP="00825B04">
      <w:pPr>
        <w:pStyle w:val="ListParagraph"/>
        <w:numPr>
          <w:ilvl w:val="0"/>
          <w:numId w:val="2"/>
        </w:numPr>
        <w:rPr>
          <w:sz w:val="24"/>
          <w:szCs w:val="24"/>
        </w:rPr>
      </w:pPr>
      <w:r>
        <w:rPr>
          <w:sz w:val="24"/>
          <w:szCs w:val="24"/>
        </w:rPr>
        <w:t xml:space="preserve">Ohio Power Company’s share of </w:t>
      </w:r>
      <w:bookmarkStart w:id="0" w:name="_GoBack"/>
      <w:bookmarkEnd w:id="0"/>
      <w:r>
        <w:rPr>
          <w:sz w:val="24"/>
          <w:szCs w:val="24"/>
        </w:rPr>
        <w:t>Amos 3 was transferred to APCo.</w:t>
      </w:r>
    </w:p>
    <w:p w:rsidR="00825B04" w:rsidRDefault="00825B04" w:rsidP="00825B04">
      <w:pPr>
        <w:pStyle w:val="ListParagraph"/>
        <w:numPr>
          <w:ilvl w:val="0"/>
          <w:numId w:val="2"/>
        </w:numPr>
        <w:rPr>
          <w:sz w:val="24"/>
          <w:szCs w:val="24"/>
        </w:rPr>
      </w:pPr>
      <w:r>
        <w:rPr>
          <w:sz w:val="24"/>
          <w:szCs w:val="24"/>
        </w:rPr>
        <w:t>Mitchell units 1&amp;2 were transferred 80% to APCo and 20% to KPCo.</w:t>
      </w:r>
    </w:p>
    <w:p w:rsidR="00B61D4B" w:rsidRPr="00825B04" w:rsidRDefault="00B61D4B" w:rsidP="00825B04">
      <w:pPr>
        <w:pStyle w:val="ListParagraph"/>
        <w:numPr>
          <w:ilvl w:val="0"/>
          <w:numId w:val="2"/>
        </w:numPr>
        <w:rPr>
          <w:sz w:val="24"/>
          <w:szCs w:val="24"/>
        </w:rPr>
      </w:pPr>
      <w:r>
        <w:rPr>
          <w:sz w:val="24"/>
          <w:szCs w:val="24"/>
        </w:rPr>
        <w:t>Historic hourly 3</w:t>
      </w:r>
      <w:r w:rsidRPr="00B61D4B">
        <w:rPr>
          <w:sz w:val="24"/>
          <w:szCs w:val="24"/>
          <w:vertAlign w:val="superscript"/>
        </w:rPr>
        <w:t>rd</w:t>
      </w:r>
      <w:r>
        <w:rPr>
          <w:sz w:val="24"/>
          <w:szCs w:val="24"/>
        </w:rPr>
        <w:t xml:space="preserve"> party system purchases were excluded from the analysis.</w:t>
      </w:r>
    </w:p>
    <w:p w:rsidR="00305B27" w:rsidRPr="00305B27" w:rsidRDefault="00305B27" w:rsidP="00156826">
      <w:pPr>
        <w:rPr>
          <w:sz w:val="24"/>
          <w:szCs w:val="24"/>
        </w:rPr>
      </w:pPr>
      <w:r>
        <w:rPr>
          <w:sz w:val="24"/>
          <w:szCs w:val="24"/>
        </w:rPr>
        <w:tab/>
      </w:r>
    </w:p>
    <w:sectPr w:rsidR="00305B27" w:rsidRPr="00305B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4B3" w:rsidRDefault="004004B3" w:rsidP="00B61D4B">
      <w:pPr>
        <w:spacing w:after="0" w:line="240" w:lineRule="auto"/>
      </w:pPr>
      <w:r>
        <w:separator/>
      </w:r>
    </w:p>
  </w:endnote>
  <w:endnote w:type="continuationSeparator" w:id="0">
    <w:p w:rsidR="004004B3" w:rsidRDefault="004004B3" w:rsidP="00B61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4B3" w:rsidRDefault="004004B3" w:rsidP="00B61D4B">
      <w:pPr>
        <w:spacing w:after="0" w:line="240" w:lineRule="auto"/>
      </w:pPr>
      <w:r>
        <w:separator/>
      </w:r>
    </w:p>
  </w:footnote>
  <w:footnote w:type="continuationSeparator" w:id="0">
    <w:p w:rsidR="004004B3" w:rsidRDefault="004004B3" w:rsidP="00B61D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4223C"/>
    <w:multiLevelType w:val="hybridMultilevel"/>
    <w:tmpl w:val="31526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8B7136"/>
    <w:multiLevelType w:val="hybridMultilevel"/>
    <w:tmpl w:val="C52C9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826"/>
    <w:rsid w:val="0009025F"/>
    <w:rsid w:val="00156826"/>
    <w:rsid w:val="00305B27"/>
    <w:rsid w:val="004004B3"/>
    <w:rsid w:val="00410330"/>
    <w:rsid w:val="006E3D07"/>
    <w:rsid w:val="00732198"/>
    <w:rsid w:val="00737502"/>
    <w:rsid w:val="00767E7F"/>
    <w:rsid w:val="00825B04"/>
    <w:rsid w:val="00AC1DF0"/>
    <w:rsid w:val="00B47103"/>
    <w:rsid w:val="00B61D4B"/>
    <w:rsid w:val="00C11BA2"/>
    <w:rsid w:val="00E117B7"/>
    <w:rsid w:val="00E50C23"/>
    <w:rsid w:val="00E73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025F"/>
    <w:pPr>
      <w:ind w:left="720"/>
      <w:contextualSpacing/>
    </w:pPr>
  </w:style>
  <w:style w:type="paragraph" w:styleId="Header">
    <w:name w:val="header"/>
    <w:basedOn w:val="Normal"/>
    <w:link w:val="HeaderChar"/>
    <w:uiPriority w:val="99"/>
    <w:unhideWhenUsed/>
    <w:rsid w:val="00B61D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D4B"/>
    <w:rPr>
      <w:sz w:val="22"/>
      <w:szCs w:val="22"/>
    </w:rPr>
  </w:style>
  <w:style w:type="paragraph" w:styleId="Footer">
    <w:name w:val="footer"/>
    <w:basedOn w:val="Normal"/>
    <w:link w:val="FooterChar"/>
    <w:uiPriority w:val="99"/>
    <w:unhideWhenUsed/>
    <w:rsid w:val="00B61D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D4B"/>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025F"/>
    <w:pPr>
      <w:ind w:left="720"/>
      <w:contextualSpacing/>
    </w:pPr>
  </w:style>
  <w:style w:type="paragraph" w:styleId="Header">
    <w:name w:val="header"/>
    <w:basedOn w:val="Normal"/>
    <w:link w:val="HeaderChar"/>
    <w:uiPriority w:val="99"/>
    <w:unhideWhenUsed/>
    <w:rsid w:val="00B61D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D4B"/>
    <w:rPr>
      <w:sz w:val="22"/>
      <w:szCs w:val="22"/>
    </w:rPr>
  </w:style>
  <w:style w:type="paragraph" w:styleId="Footer">
    <w:name w:val="footer"/>
    <w:basedOn w:val="Normal"/>
    <w:link w:val="FooterChar"/>
    <w:uiPriority w:val="99"/>
    <w:unhideWhenUsed/>
    <w:rsid w:val="00B61D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D4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IT-WE</Company>
  <LinksUpToDate>false</LinksUpToDate>
  <CharactersWithSpaces>2877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E Vaughan</dc:creator>
  <cp:keywords/>
  <dc:description/>
  <cp:lastModifiedBy>Alex E Vaughan</cp:lastModifiedBy>
  <cp:revision>2</cp:revision>
  <dcterms:created xsi:type="dcterms:W3CDTF">2012-02-15T15:56:00Z</dcterms:created>
  <dcterms:modified xsi:type="dcterms:W3CDTF">2012-02-15T15:56:00Z</dcterms:modified>
</cp:coreProperties>
</file>